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32" w:rsidRPr="00B2305A" w:rsidRDefault="00574132" w:rsidP="00574132">
      <w:pPr>
        <w:pStyle w:val="Tytu"/>
        <w:rPr>
          <w:rFonts w:ascii="Times New Roman" w:hAnsi="Times New Roman" w:cs="Times New Roman"/>
          <w:sz w:val="96"/>
          <w:szCs w:val="96"/>
        </w:rPr>
      </w:pPr>
      <w:r w:rsidRPr="00B2305A">
        <w:rPr>
          <w:rFonts w:ascii="Times New Roman" w:hAnsi="Times New Roman" w:cs="Times New Roman"/>
          <w:sz w:val="96"/>
          <w:szCs w:val="96"/>
        </w:rPr>
        <w:t>O G Ł O S Z E N I E</w:t>
      </w:r>
    </w:p>
    <w:p w:rsidR="00574132" w:rsidRPr="00E61563" w:rsidRDefault="00574132" w:rsidP="00574132">
      <w:pPr>
        <w:pStyle w:val="Tytu"/>
        <w:ind w:firstLine="708"/>
        <w:jc w:val="both"/>
        <w:rPr>
          <w:rFonts w:ascii="Times New Roman" w:hAnsi="Times New Roman" w:cs="Times New Roman"/>
          <w:b w:val="0"/>
          <w:bCs w:val="0"/>
          <w:sz w:val="24"/>
        </w:rPr>
      </w:pPr>
    </w:p>
    <w:p w:rsidR="00574132" w:rsidRPr="00B2305A" w:rsidRDefault="00574132" w:rsidP="00574132">
      <w:pPr>
        <w:pStyle w:val="Tytu"/>
        <w:ind w:firstLine="708"/>
        <w:jc w:val="both"/>
        <w:rPr>
          <w:rFonts w:ascii="Times New Roman" w:hAnsi="Times New Roman" w:cs="Times New Roman"/>
          <w:b w:val="0"/>
          <w:bCs w:val="0"/>
          <w:sz w:val="32"/>
          <w:szCs w:val="32"/>
        </w:rPr>
      </w:pPr>
      <w:r w:rsidRPr="00B2305A">
        <w:rPr>
          <w:rFonts w:ascii="Times New Roman" w:hAnsi="Times New Roman" w:cs="Times New Roman"/>
          <w:b w:val="0"/>
          <w:bCs w:val="0"/>
          <w:sz w:val="32"/>
          <w:szCs w:val="32"/>
        </w:rPr>
        <w:t xml:space="preserve">W dniu </w:t>
      </w:r>
      <w:r>
        <w:rPr>
          <w:rFonts w:ascii="Times New Roman" w:hAnsi="Times New Roman" w:cs="Times New Roman"/>
          <w:sz w:val="32"/>
          <w:szCs w:val="32"/>
        </w:rPr>
        <w:t>10 marca</w:t>
      </w:r>
      <w:r w:rsidRPr="00B2305A">
        <w:rPr>
          <w:rFonts w:ascii="Times New Roman" w:hAnsi="Times New Roman" w:cs="Times New Roman"/>
          <w:sz w:val="32"/>
          <w:szCs w:val="32"/>
        </w:rPr>
        <w:t xml:space="preserve"> 2015 r. </w:t>
      </w:r>
      <w:r w:rsidRPr="00B2305A">
        <w:rPr>
          <w:rFonts w:ascii="Times New Roman" w:hAnsi="Times New Roman" w:cs="Times New Roman"/>
          <w:color w:val="000000" w:themeColor="text1"/>
          <w:sz w:val="32"/>
          <w:szCs w:val="32"/>
        </w:rPr>
        <w:t>o godz.15</w:t>
      </w:r>
      <w:r w:rsidRPr="00B2305A">
        <w:rPr>
          <w:rFonts w:ascii="Times New Roman" w:hAnsi="Times New Roman" w:cs="Times New Roman"/>
          <w:color w:val="000000" w:themeColor="text1"/>
          <w:sz w:val="32"/>
          <w:szCs w:val="32"/>
          <w:vertAlign w:val="superscript"/>
        </w:rPr>
        <w:t>00</w:t>
      </w:r>
      <w:r w:rsidRPr="00B2305A">
        <w:rPr>
          <w:rFonts w:ascii="Times New Roman" w:hAnsi="Times New Roman" w:cs="Times New Roman"/>
          <w:b w:val="0"/>
          <w:bCs w:val="0"/>
          <w:color w:val="FF0000"/>
          <w:sz w:val="32"/>
          <w:szCs w:val="32"/>
        </w:rPr>
        <w:t xml:space="preserve"> </w:t>
      </w:r>
      <w:r w:rsidRPr="00B2305A">
        <w:rPr>
          <w:rFonts w:ascii="Times New Roman" w:hAnsi="Times New Roman" w:cs="Times New Roman"/>
          <w:b w:val="0"/>
          <w:bCs w:val="0"/>
          <w:sz w:val="32"/>
          <w:szCs w:val="32"/>
        </w:rPr>
        <w:t>w sali nar</w:t>
      </w:r>
      <w:r>
        <w:rPr>
          <w:rFonts w:ascii="Times New Roman" w:hAnsi="Times New Roman" w:cs="Times New Roman"/>
          <w:b w:val="0"/>
          <w:bCs w:val="0"/>
          <w:sz w:val="32"/>
          <w:szCs w:val="32"/>
        </w:rPr>
        <w:t>ad Urzędu Gminy w Czernichowie odbędzie się V sesja Rady Gminy Czernichów</w:t>
      </w:r>
    </w:p>
    <w:p w:rsidR="00574132" w:rsidRPr="00F16EBF" w:rsidRDefault="00574132" w:rsidP="00574132">
      <w:pPr>
        <w:pStyle w:val="Tytu"/>
        <w:spacing w:line="360" w:lineRule="auto"/>
        <w:jc w:val="both"/>
        <w:rPr>
          <w:rFonts w:ascii="Times New Roman" w:hAnsi="Times New Roman" w:cs="Times New Roman"/>
          <w:b w:val="0"/>
          <w:bCs w:val="0"/>
          <w:sz w:val="24"/>
        </w:rPr>
      </w:pPr>
    </w:p>
    <w:p w:rsidR="00574132" w:rsidRPr="00574132" w:rsidRDefault="00574132" w:rsidP="00574132">
      <w:pPr>
        <w:jc w:val="both"/>
        <w:rPr>
          <w:b/>
          <w:bCs/>
          <w:sz w:val="28"/>
          <w:szCs w:val="28"/>
        </w:rPr>
      </w:pPr>
      <w:r w:rsidRPr="00574132">
        <w:rPr>
          <w:b/>
          <w:bCs/>
          <w:sz w:val="28"/>
          <w:szCs w:val="28"/>
        </w:rPr>
        <w:t>Porządek posiedzenia :</w:t>
      </w:r>
    </w:p>
    <w:p w:rsidR="00574132" w:rsidRPr="00574132" w:rsidRDefault="00574132" w:rsidP="00574132">
      <w:pPr>
        <w:rPr>
          <w:b/>
          <w:bCs/>
          <w:sz w:val="28"/>
          <w:szCs w:val="28"/>
        </w:rPr>
      </w:pP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Otwarcie sesji i stwierdzenie jej prawomocności.</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Przyjęcie porządku obrad.</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Wręczenie odznaczeń „Za zasługi dla Obronności Kraju”</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 xml:space="preserve">Sprawozdawczość z działalności Wójta. </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Interpelacje i zapytania. </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wyboru metody ustalania opłaty za gospodarowanie odpadami komunalnymi oraz ustalania wysokości tej opłaty – z nieruchomości zamieszkałych. </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Podjęcie uchwały w sprawie : określenia terminu, częstotliwości i trybu uiszczania opłaty za gospodarowanie odpadami komunalnymi – z nieruchomości na których zamieszkują mieszkańcy</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Podjęcie uchwały w sprawie : określenia wzoru deklaracji o wysokości opłaty za gospodarowanie odpadami komunalnymi składanej przez właścicieli nieruchomości, na której zamieszkują mieszkańcy oraz określenia warunków i trybu składania deklaracji o wysokości opłaty za gospodarowanie odpadami komunalnymi za pomocą środków komunikacji elektronicznej</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Podjęcie uchwały w sprawie : wyboru metody ustalania opłaty za gospodarowanie odpadami komunalnymi oraz ustalania wysokości tej opłaty – z nieruchomości na których znajdują się domki letniskowe lub innych nieruchomości wykorzystywanych na cele rekreacyjno – wypoczynkowe (jedynie przez część roku)</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Podjęcie uchwały w sprawie : określenia terminu, częstotliwości i trybu uiszczania opłaty za gospodarowanie odpadami komunalnymi – z nieruchomości na których znajdują się domki letniskowe lub innych nieruchomości wykorzystywanych na cele rekreacyjno – wypoczynkowe (jedynie przez część roku)</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Podjęcie uchwały w sprawie : określenia wzoru deklaracji o wysokości opłaty za gospodarowanie odpadami komunalnymi składanej przez właścicieli nieruchomości, na której znajdują się domki letniskowe, lub inne nieruchomości wykorzystywane na cele rekreacyjno –wypoczynkowe jedynie przez część roku oraz określenia warunków i trybu składania deklaracji o wysokości opłaty za gospodarowanie odpadami komunalnymi za pomocą środków komunikacji elektronicznej</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przejęcia nieruchomości w Międzybrodziu Bialskim przy ul. Strażackiej</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przeznaczenia do wydzierżawienia części nieruchomości gruntowej położonej w Międzybrodziu Bialskim przy ul. Szkolnej</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uchwalenia programu opieki nad zwierzętami bezdomnymi oraz zapobiegania bezdomności zwierząt na terenie gminy Czernichów w 2015 roku</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color w:val="000000"/>
          <w:sz w:val="28"/>
          <w:szCs w:val="28"/>
        </w:rPr>
        <w:t>wyrażenia zgody na przystąpienie Gminy Czernichów do współpracy w ramach Regionalnych Inwestycji Terytorialnych Subregionu Południowego Województwa Śląskiego i zawarcie porozumienia pomiędzy Gmina Czernichów a pozostałymi powiatami i gminami wchodzącymi w skład Subregionu Południowego Województwa Śląskiego</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maksymalnej kwoty dofinansowania w roku 2015 opłat za kształcenie pobierane przez szkoły wyższe i zakłady kształcenia nauczycieli oraz specjalności i formy kształcenia, finansowanych ze środków na dokształcanie i doskonalenie zawodowe nauczycieli</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nie wyrażenia zgody na wyodrębnienie w budżecie gminy środków stanowiących fundusz sołecki</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sz w:val="28"/>
          <w:szCs w:val="28"/>
        </w:rPr>
        <w:t>wyrażenia zgody na przekazanie składnika mienia komunalnego w formie darowizny</w:t>
      </w:r>
      <w:r w:rsidRPr="00574132">
        <w:rPr>
          <w:sz w:val="28"/>
          <w:szCs w:val="28"/>
        </w:rPr>
        <w:t xml:space="preserve"> </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sz w:val="28"/>
          <w:szCs w:val="28"/>
        </w:rPr>
        <w:t xml:space="preserve">Podjęcie uchwały w sprawie : </w:t>
      </w:r>
      <w:r w:rsidRPr="00574132">
        <w:rPr>
          <w:bCs/>
          <w:color w:val="000000"/>
          <w:sz w:val="28"/>
          <w:szCs w:val="28"/>
        </w:rPr>
        <w:t>udzielenia pomocy finansowej w postaci dotacji celowej dla Miasta Bielska-Białej na dofinansowanie działalności Ośrodka Przeciwdziałania Problemom Alkoholowym w Bielsku-Białej</w:t>
      </w:r>
    </w:p>
    <w:p w:rsidR="00574132" w:rsidRPr="00574132" w:rsidRDefault="00574132" w:rsidP="00574132">
      <w:pPr>
        <w:pStyle w:val="Akapitzlist"/>
        <w:numPr>
          <w:ilvl w:val="0"/>
          <w:numId w:val="1"/>
        </w:numPr>
        <w:tabs>
          <w:tab w:val="clear" w:pos="360"/>
          <w:tab w:val="num" w:pos="567"/>
        </w:tabs>
        <w:spacing w:line="276" w:lineRule="auto"/>
        <w:ind w:left="567" w:hanging="567"/>
        <w:jc w:val="both"/>
        <w:rPr>
          <w:bCs/>
          <w:sz w:val="28"/>
          <w:szCs w:val="28"/>
        </w:rPr>
      </w:pPr>
      <w:r w:rsidRPr="00574132">
        <w:rPr>
          <w:bCs/>
          <w:color w:val="000000"/>
          <w:sz w:val="28"/>
          <w:szCs w:val="28"/>
        </w:rPr>
        <w:t>Sprawozdanie z realizacji zadań gminnego programu profilaktyki i rozwiązywania problemów alkoholowych oraz przeciwdziałania narkomanii w II półroczu 2014 r.</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bCs/>
          <w:sz w:val="28"/>
          <w:szCs w:val="28"/>
        </w:rPr>
        <w:t>Przyjęcie protokołu z III sesji Rady Gminy.</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Odpowiedzi na interpelacje i zapytania.</w:t>
      </w:r>
    </w:p>
    <w:p w:rsidR="00574132" w:rsidRPr="00574132" w:rsidRDefault="00574132" w:rsidP="00574132">
      <w:pPr>
        <w:numPr>
          <w:ilvl w:val="0"/>
          <w:numId w:val="1"/>
        </w:numPr>
        <w:tabs>
          <w:tab w:val="clear" w:pos="360"/>
          <w:tab w:val="num" w:pos="567"/>
        </w:tabs>
        <w:autoSpaceDN w:val="0"/>
        <w:spacing w:line="276" w:lineRule="auto"/>
        <w:ind w:left="567" w:hanging="567"/>
        <w:jc w:val="both"/>
        <w:rPr>
          <w:sz w:val="28"/>
          <w:szCs w:val="28"/>
        </w:rPr>
      </w:pPr>
      <w:r w:rsidRPr="00574132">
        <w:rPr>
          <w:sz w:val="28"/>
          <w:szCs w:val="28"/>
        </w:rPr>
        <w:t>Wolne wnioski i zakończenie obrad.</w:t>
      </w:r>
    </w:p>
    <w:p w:rsidR="00421292" w:rsidRPr="00574132" w:rsidRDefault="00421292">
      <w:pPr>
        <w:rPr>
          <w:sz w:val="28"/>
          <w:szCs w:val="28"/>
        </w:rPr>
      </w:pPr>
    </w:p>
    <w:p w:rsidR="00574132" w:rsidRPr="00574132" w:rsidRDefault="00574132" w:rsidP="00574132">
      <w:pPr>
        <w:spacing w:line="360" w:lineRule="auto"/>
        <w:ind w:left="6372" w:firstLine="708"/>
        <w:jc w:val="both"/>
        <w:rPr>
          <w:sz w:val="28"/>
          <w:szCs w:val="28"/>
        </w:rPr>
      </w:pPr>
      <w:r w:rsidRPr="00574132">
        <w:rPr>
          <w:sz w:val="28"/>
          <w:szCs w:val="28"/>
        </w:rPr>
        <w:t>Przewodniczący Rady Gminy</w:t>
      </w:r>
      <w:r w:rsidRPr="00574132">
        <w:rPr>
          <w:sz w:val="28"/>
          <w:szCs w:val="28"/>
        </w:rPr>
        <w:tab/>
      </w:r>
      <w:r w:rsidRPr="00574132">
        <w:rPr>
          <w:sz w:val="28"/>
          <w:szCs w:val="28"/>
        </w:rPr>
        <w:tab/>
      </w:r>
      <w:r w:rsidRPr="00574132">
        <w:rPr>
          <w:sz w:val="28"/>
          <w:szCs w:val="28"/>
        </w:rPr>
        <w:tab/>
        <w:t xml:space="preserve">  </w:t>
      </w:r>
    </w:p>
    <w:p w:rsidR="00574132" w:rsidRPr="00574132" w:rsidRDefault="00574132" w:rsidP="00574132">
      <w:pPr>
        <w:spacing w:line="360" w:lineRule="auto"/>
        <w:ind w:left="7080" w:firstLine="708"/>
        <w:jc w:val="both"/>
        <w:rPr>
          <w:sz w:val="28"/>
          <w:szCs w:val="28"/>
        </w:rPr>
      </w:pPr>
      <w:r w:rsidRPr="00574132">
        <w:rPr>
          <w:sz w:val="28"/>
          <w:szCs w:val="28"/>
        </w:rPr>
        <w:t xml:space="preserve">   Adam Badan</w:t>
      </w:r>
    </w:p>
    <w:sectPr w:rsidR="00574132" w:rsidRPr="00574132" w:rsidSect="00574132">
      <w:pgSz w:w="16839" w:h="23814" w:code="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81E34"/>
    <w:multiLevelType w:val="hybridMultilevel"/>
    <w:tmpl w:val="EDA696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574132"/>
    <w:rsid w:val="00421292"/>
    <w:rsid w:val="005741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413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4132"/>
    <w:pPr>
      <w:ind w:left="720"/>
      <w:contextualSpacing/>
    </w:pPr>
  </w:style>
  <w:style w:type="paragraph" w:styleId="Tytu">
    <w:name w:val="Title"/>
    <w:basedOn w:val="Normalny"/>
    <w:link w:val="TytuZnak"/>
    <w:uiPriority w:val="10"/>
    <w:qFormat/>
    <w:rsid w:val="00574132"/>
    <w:pPr>
      <w:jc w:val="center"/>
    </w:pPr>
    <w:rPr>
      <w:rFonts w:ascii="Arial" w:hAnsi="Arial" w:cs="Arial"/>
      <w:b/>
      <w:bCs/>
      <w:sz w:val="44"/>
    </w:rPr>
  </w:style>
  <w:style w:type="character" w:customStyle="1" w:styleId="TytuZnak">
    <w:name w:val="Tytuł Znak"/>
    <w:basedOn w:val="Domylnaczcionkaakapitu"/>
    <w:link w:val="Tytu"/>
    <w:uiPriority w:val="10"/>
    <w:rsid w:val="00574132"/>
    <w:rPr>
      <w:rFonts w:ascii="Arial" w:eastAsia="Times New Roman" w:hAnsi="Arial" w:cs="Arial"/>
      <w:b/>
      <w:bCs/>
      <w:sz w:val="4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554</Words>
  <Characters>3324</Characters>
  <Application>Microsoft Office Word</Application>
  <DocSecurity>0</DocSecurity>
  <Lines>27</Lines>
  <Paragraphs>7</Paragraphs>
  <ScaleCrop>false</ScaleCrop>
  <Company>Your Company Name</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cp:lastPrinted>2015-03-03T06:55:00Z</cp:lastPrinted>
  <dcterms:created xsi:type="dcterms:W3CDTF">2015-03-03T06:53:00Z</dcterms:created>
  <dcterms:modified xsi:type="dcterms:W3CDTF">2015-03-03T06:56:00Z</dcterms:modified>
</cp:coreProperties>
</file>